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755F45">
        <w:rPr>
          <w:rFonts w:ascii="Times New Roman" w:eastAsia="Times New Roman" w:hAnsi="Times New Roman" w:cs="Times New Roman"/>
        </w:rPr>
        <w:t xml:space="preserve">обучающихся </w:t>
      </w:r>
      <w:r w:rsidR="00672FA4" w:rsidRPr="00755F45">
        <w:rPr>
          <w:rFonts w:ascii="Times New Roman" w:eastAsia="Times New Roman" w:hAnsi="Times New Roman" w:cs="Times New Roman"/>
        </w:rPr>
        <w:t xml:space="preserve"> </w:t>
      </w:r>
      <w:r w:rsidR="0085736F">
        <w:rPr>
          <w:rFonts w:ascii="Times New Roman" w:hAnsi="Times New Roman" w:cs="Times New Roman"/>
        </w:rPr>
        <w:t>в</w:t>
      </w:r>
      <w:proofErr w:type="gramEnd"/>
      <w:r w:rsidR="0085736F">
        <w:rPr>
          <w:rFonts w:ascii="Times New Roman" w:hAnsi="Times New Roman" w:cs="Times New Roman"/>
        </w:rPr>
        <w:t xml:space="preserve"> школах</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w:t>
      </w:r>
      <w:proofErr w:type="gramStart"/>
      <w:r w:rsidRPr="00755F45">
        <w:rPr>
          <w:rFonts w:ascii="Times New Roman" w:eastAsia="Times New Roman" w:hAnsi="Times New Roman" w:cs="Times New Roman"/>
        </w:rPr>
        <w:t xml:space="preserve">предоставляется </w:t>
      </w:r>
      <w:r w:rsidR="0085736F">
        <w:rPr>
          <w:rFonts w:ascii="Times New Roman" w:eastAsia="Times New Roman" w:hAnsi="Times New Roman" w:cs="Times New Roman"/>
        </w:rPr>
        <w:t xml:space="preserve"> </w:t>
      </w:r>
      <w:r w:rsidR="00174F4E">
        <w:rPr>
          <w:rFonts w:ascii="Times New Roman" w:eastAsia="Times New Roman" w:hAnsi="Times New Roman" w:cs="Times New Roman"/>
        </w:rPr>
        <w:t>1213</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обучающимся, в том числе </w:t>
      </w:r>
      <w:r w:rsidR="00174F4E">
        <w:rPr>
          <w:rFonts w:ascii="Times New Roman" w:eastAsia="Times New Roman" w:hAnsi="Times New Roman" w:cs="Times New Roman"/>
        </w:rPr>
        <w:t>194</w:t>
      </w:r>
      <w:r w:rsidR="00672FA4" w:rsidRPr="00755F45">
        <w:rPr>
          <w:rFonts w:ascii="Times New Roman" w:eastAsia="Times New Roman" w:hAnsi="Times New Roman" w:cs="Times New Roman"/>
        </w:rPr>
        <w:t xml:space="preserve"> обучающимся </w:t>
      </w:r>
      <w:r w:rsidRPr="00755F45">
        <w:rPr>
          <w:rFonts w:ascii="Times New Roman" w:eastAsia="Times New Roman" w:hAnsi="Times New Roman" w:cs="Times New Roman"/>
        </w:rPr>
        <w:t xml:space="preserve"> за счет средств местного бюджета на сумму </w:t>
      </w:r>
      <w:r w:rsidR="00174F4E">
        <w:rPr>
          <w:rFonts w:ascii="Times New Roman" w:eastAsia="Times New Roman" w:hAnsi="Times New Roman" w:cs="Times New Roman"/>
        </w:rPr>
        <w:t>2 910</w:t>
      </w:r>
      <w:r w:rsidR="00AD0987">
        <w:rPr>
          <w:rFonts w:ascii="Times New Roman" w:eastAsia="Times New Roman" w:hAnsi="Times New Roman" w:cs="Times New Roman"/>
        </w:rPr>
        <w:t xml:space="preserve"> 000</w:t>
      </w:r>
      <w:r w:rsidR="00672FA4" w:rsidRPr="00755F45">
        <w:rPr>
          <w:rFonts w:ascii="Times New Roman" w:eastAsia="Times New Roman" w:hAnsi="Times New Roman" w:cs="Times New Roman"/>
        </w:rPr>
        <w:t>,00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Основными целями и задачами при организации питания учащихся </w:t>
      </w:r>
      <w:proofErr w:type="gramStart"/>
      <w:r w:rsidRPr="00755F45">
        <w:rPr>
          <w:rFonts w:ascii="Times New Roman" w:eastAsia="Times New Roman" w:hAnsi="Times New Roman" w:cs="Times New Roman"/>
        </w:rPr>
        <w:t>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85736F">
        <w:rPr>
          <w:rFonts w:ascii="Times New Roman" w:hAnsi="Times New Roman" w:cs="Times New Roman"/>
        </w:rPr>
        <w:t>школах</w:t>
      </w:r>
      <w:proofErr w:type="gramEnd"/>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proofErr w:type="gramStart"/>
      <w:r w:rsidR="0085736F">
        <w:rPr>
          <w:rFonts w:ascii="Times New Roman" w:hAnsi="Times New Roman" w:cs="Times New Roman"/>
        </w:rPr>
        <w:t xml:space="preserve">школах </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proofErr w:type="gram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w:t>
      </w:r>
      <w:proofErr w:type="gramStart"/>
      <w:r w:rsidR="00947F29" w:rsidRPr="00755F45">
        <w:rPr>
          <w:rFonts w:ascii="Times New Roman" w:eastAsia="Times New Roman" w:hAnsi="Times New Roman" w:cs="Times New Roman"/>
        </w:rPr>
        <w:t xml:space="preserve">второй </w:t>
      </w:r>
      <w:r w:rsidRPr="00755F45">
        <w:rPr>
          <w:rFonts w:ascii="Times New Roman" w:eastAsia="Times New Roman" w:hAnsi="Times New Roman" w:cs="Times New Roman"/>
        </w:rPr>
        <w:t xml:space="preserve"> смены</w:t>
      </w:r>
      <w:proofErr w:type="gramEnd"/>
      <w:r w:rsidRPr="00755F45">
        <w:rPr>
          <w:rFonts w:ascii="Times New Roman" w:eastAsia="Times New Roman" w:hAnsi="Times New Roman" w:cs="Times New Roman"/>
        </w:rPr>
        <w:t xml:space="preserve">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евых продуктов осуществляется согласно режиму работы столовой по согласованию с директором 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отдельных категорий учащихся 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lastRenderedPageBreak/>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00174F4E">
        <w:rPr>
          <w:rFonts w:ascii="Times New Roman" w:eastAsia="Times New Roman" w:hAnsi="Times New Roman" w:cs="Times New Roman"/>
        </w:rPr>
        <w:t>27</w:t>
      </w:r>
      <w:r w:rsidR="0085736F">
        <w:rPr>
          <w:rFonts w:ascii="Times New Roman" w:eastAsia="Times New Roman" w:hAnsi="Times New Roman" w:cs="Times New Roman"/>
        </w:rPr>
        <w:t>.0</w:t>
      </w:r>
      <w:r w:rsidR="00AD0987">
        <w:rPr>
          <w:rFonts w:ascii="Times New Roman" w:eastAsia="Times New Roman" w:hAnsi="Times New Roman" w:cs="Times New Roman"/>
        </w:rPr>
        <w:t>8</w:t>
      </w:r>
      <w:r w:rsidR="00404211">
        <w:rPr>
          <w:rFonts w:ascii="Times New Roman" w:eastAsia="Times New Roman" w:hAnsi="Times New Roman" w:cs="Times New Roman"/>
        </w:rPr>
        <w:t>.2019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174F4E" w:rsidP="00BC6657">
      <w:pPr>
        <w:spacing w:before="100" w:beforeAutospacing="1" w:after="100" w:afterAutospacing="1" w:line="240"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и.о.Руководителя</w:t>
      </w:r>
      <w:proofErr w:type="spellEnd"/>
      <w:r w:rsidR="00404211" w:rsidRPr="004042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Нургалиева А.А.</w:t>
      </w:r>
      <w:bookmarkStart w:id="1" w:name="_GoBack"/>
      <w:bookmarkEnd w:id="1"/>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174F4E"/>
    <w:rsid w:val="002115DB"/>
    <w:rsid w:val="00243C24"/>
    <w:rsid w:val="00311480"/>
    <w:rsid w:val="00384F5C"/>
    <w:rsid w:val="00404211"/>
    <w:rsid w:val="0045519B"/>
    <w:rsid w:val="00572C72"/>
    <w:rsid w:val="005D4929"/>
    <w:rsid w:val="00652334"/>
    <w:rsid w:val="00672FA4"/>
    <w:rsid w:val="00755E6B"/>
    <w:rsid w:val="00755F45"/>
    <w:rsid w:val="007C7032"/>
    <w:rsid w:val="0085736F"/>
    <w:rsid w:val="00895968"/>
    <w:rsid w:val="008C0001"/>
    <w:rsid w:val="0093139F"/>
    <w:rsid w:val="00947F29"/>
    <w:rsid w:val="00A506F2"/>
    <w:rsid w:val="00AD0987"/>
    <w:rsid w:val="00BA014E"/>
    <w:rsid w:val="00BC6657"/>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0F5AC-DE08-4B3E-ABA5-99F774579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1370</Words>
  <Characters>7814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17</cp:revision>
  <cp:lastPrinted>2019-08-27T04:55:00Z</cp:lastPrinted>
  <dcterms:created xsi:type="dcterms:W3CDTF">2019-01-03T10:11:00Z</dcterms:created>
  <dcterms:modified xsi:type="dcterms:W3CDTF">2019-08-27T04:55:00Z</dcterms:modified>
</cp:coreProperties>
</file>