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Аюпов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409F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1F283F">
        <w:rPr>
          <w:rFonts w:ascii="Times New Roman" w:hAnsi="Times New Roman"/>
          <w:b/>
          <w:i/>
          <w:color w:val="FF0000"/>
          <w:u w:val="single"/>
          <w:lang w:val="ru-RU"/>
        </w:rPr>
        <w:t>71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1F283F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1F283F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1F283F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СКО. а.Бесколь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</w:hyperlink>
    </w:p>
    <w:p w:rsidR="006D1B8C" w:rsidRPr="007E69A6" w:rsidRDefault="006D1B8C" w:rsidP="00614E23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9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14"/>
        <w:gridCol w:w="1939"/>
        <w:gridCol w:w="1070"/>
        <w:gridCol w:w="1275"/>
        <w:gridCol w:w="3341"/>
        <w:gridCol w:w="1512"/>
      </w:tblGrid>
      <w:tr w:rsidR="00614E23" w:rsidRPr="005C5A16" w:rsidTr="00614E23">
        <w:trPr>
          <w:trHeight w:val="103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Место поставки товаров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614E23" w:rsidRPr="00614E23" w:rsidTr="00614E2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</w:tr>
      <w:tr w:rsidR="00614E23" w:rsidRPr="00614E23" w:rsidTr="00614E23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Больше-Малышенский пришкольный мини-центр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45000,00</w:t>
            </w:r>
          </w:p>
        </w:tc>
      </w:tr>
      <w:tr w:rsidR="00614E23" w:rsidRPr="00614E23" w:rsidTr="00614E2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Озерный пришкольный мини-центр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45000,00</w:t>
            </w:r>
          </w:p>
        </w:tc>
      </w:tr>
      <w:tr w:rsidR="00614E23" w:rsidRPr="00614E23" w:rsidTr="00614E23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Якорьский пришкольный мини-центр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45000,00</w:t>
            </w:r>
          </w:p>
        </w:tc>
      </w:tr>
      <w:tr w:rsidR="00614E23" w:rsidRPr="00614E23" w:rsidTr="00614E23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700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52500,00</w:t>
            </w:r>
          </w:p>
        </w:tc>
      </w:tr>
      <w:tr w:rsidR="00614E23" w:rsidRPr="00614E23" w:rsidTr="00614E23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Больше-Малышенский пришкольный мини-центр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8500,00</w:t>
            </w:r>
          </w:p>
        </w:tc>
      </w:tr>
      <w:tr w:rsidR="00614E23" w:rsidRPr="00614E23" w:rsidTr="00614E2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430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Озерный пришкольный мини-центр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36550,00</w:t>
            </w:r>
          </w:p>
        </w:tc>
      </w:tr>
      <w:tr w:rsidR="00614E23" w:rsidRPr="00614E23" w:rsidTr="00614E23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90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Якорьский пришкольный мини-центр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7650,00</w:t>
            </w:r>
          </w:p>
        </w:tc>
      </w:tr>
      <w:tr w:rsidR="00614E23" w:rsidRPr="00614E23" w:rsidTr="00614E23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8500,00</w:t>
            </w:r>
          </w:p>
        </w:tc>
      </w:tr>
      <w:tr w:rsidR="00614E23" w:rsidRPr="00614E23" w:rsidTr="00614E2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614E23" w:rsidP="00614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14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E23" w:rsidRPr="00614E23" w:rsidRDefault="005C5A16" w:rsidP="00614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248 700,00</w:t>
            </w:r>
          </w:p>
        </w:tc>
      </w:tr>
    </w:tbl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</w:t>
      </w:r>
      <w:r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Сумма, выделенная для данного конкурса </w:t>
      </w:r>
      <w:r w:rsidR="009E2CF4"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r w:rsidR="005C5A16">
        <w:rPr>
          <w:rFonts w:ascii="Times New Roman" w:hAnsi="Times New Roman" w:cs="Times New Roman"/>
          <w:sz w:val="20"/>
          <w:szCs w:val="20"/>
          <w:lang w:val="ru-RU"/>
        </w:rPr>
        <w:t>248 700,00 (Двести сорок восемь тысяч семьсот тенге 00 тиын)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5C5A16">
        <w:rPr>
          <w:rFonts w:ascii="Times New Roman" w:hAnsi="Times New Roman" w:cs="Times New Roman"/>
          <w:sz w:val="20"/>
          <w:szCs w:val="20"/>
          <w:lang w:val="ru-RU"/>
        </w:rPr>
        <w:t xml:space="preserve">13 марта </w:t>
      </w:r>
      <w:bookmarkStart w:id="0" w:name="_GoBack"/>
      <w:bookmarkEnd w:id="0"/>
      <w:r w:rsidR="00614E23">
        <w:rPr>
          <w:rFonts w:ascii="Times New Roman" w:hAnsi="Times New Roman" w:cs="Times New Roman"/>
          <w:sz w:val="20"/>
          <w:szCs w:val="20"/>
          <w:lang w:val="ru-RU"/>
        </w:rPr>
        <w:t xml:space="preserve"> 2017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F09CF" w:rsidRDefault="006D1B8C" w:rsidP="006F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6F09CF" w:rsidP="006F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="00111432"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интернет-ресурсе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</w:hyperlink>
      <w:r w:rsidR="00900C79">
        <w:rPr>
          <w:lang w:val="ru-RU"/>
        </w:rPr>
        <w:t xml:space="preserve"> 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1F283F"/>
    <w:rsid w:val="00212F44"/>
    <w:rsid w:val="00241EC6"/>
    <w:rsid w:val="002C477E"/>
    <w:rsid w:val="002D7211"/>
    <w:rsid w:val="003409F9"/>
    <w:rsid w:val="003A181D"/>
    <w:rsid w:val="003E56AD"/>
    <w:rsid w:val="0041371B"/>
    <w:rsid w:val="00427FD2"/>
    <w:rsid w:val="00464FD7"/>
    <w:rsid w:val="0053470C"/>
    <w:rsid w:val="005C5A16"/>
    <w:rsid w:val="005F41C1"/>
    <w:rsid w:val="00614E23"/>
    <w:rsid w:val="006D1B8C"/>
    <w:rsid w:val="006F09CF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D346A3"/>
    <w:rsid w:val="00D92E6B"/>
    <w:rsid w:val="00D96DF7"/>
    <w:rsid w:val="00DC7FA0"/>
    <w:rsid w:val="00E2511E"/>
    <w:rsid w:val="00E82226"/>
    <w:rsid w:val="00F05CAD"/>
    <w:rsid w:val="00F43C92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F6078-3EAE-4A66-8733-9A3C25C9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5A1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27</cp:revision>
  <cp:lastPrinted>2017-03-01T10:08:00Z</cp:lastPrinted>
  <dcterms:created xsi:type="dcterms:W3CDTF">2016-03-15T05:55:00Z</dcterms:created>
  <dcterms:modified xsi:type="dcterms:W3CDTF">2017-03-01T10:08:00Z</dcterms:modified>
</cp:coreProperties>
</file>