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F8F1A" w14:textId="77777777" w:rsidR="004206B3" w:rsidRPr="008932B0" w:rsidRDefault="004206B3" w:rsidP="008932B0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</w:pP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Байланыс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қызметтерінің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сапа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көрсеткіштерін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бекіту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туралы</w:t>
      </w:r>
      <w:proofErr w:type="spellEnd"/>
    </w:p>
    <w:p w14:paraId="1CA19703" w14:textId="77777777" w:rsidR="004206B3" w:rsidRPr="008932B0" w:rsidRDefault="004206B3" w:rsidP="008932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</w:pP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Қазақстан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Республикасы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Ақпарат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және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коммуникациялар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министрінің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2017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жылғы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22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қарашадағы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№ 410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бұйрығы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.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Қазақстан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Республикасының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Әділет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министрлігінде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2017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жылғы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7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желтоқсанда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№ 16064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болып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 xml:space="preserve"> </w:t>
      </w:r>
      <w:proofErr w:type="spellStart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тіркелді</w:t>
      </w:r>
      <w:proofErr w:type="spellEnd"/>
      <w:r w:rsidRPr="008932B0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.</w:t>
      </w:r>
    </w:p>
    <w:p w14:paraId="7E2B1B43" w14:textId="77777777" w:rsidR="004206B3" w:rsidRPr="008932B0" w:rsidRDefault="004206B3" w:rsidP="004206B3">
      <w:pPr>
        <w:rPr>
          <w:rFonts w:ascii="Times New Roman" w:hAnsi="Times New Roman" w:cs="Times New Roman"/>
          <w:sz w:val="28"/>
          <w:szCs w:val="28"/>
        </w:rPr>
      </w:pPr>
    </w:p>
    <w:p w14:paraId="6802E0D9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bookmarkStart w:id="0" w:name="_GoBack"/>
      <w:bookmarkEnd w:id="0"/>
      <w:r w:rsidRPr="008932B0">
        <w:rPr>
          <w:color w:val="151515"/>
          <w:sz w:val="28"/>
          <w:szCs w:val="28"/>
        </w:rPr>
        <w:t> "</w:t>
      </w:r>
      <w:proofErr w:type="spellStart"/>
      <w:r w:rsidRPr="008932B0">
        <w:rPr>
          <w:color w:val="151515"/>
          <w:sz w:val="28"/>
          <w:szCs w:val="28"/>
        </w:rPr>
        <w:t>Байланыс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туралы</w:t>
      </w:r>
      <w:proofErr w:type="spellEnd"/>
      <w:r w:rsidRPr="008932B0">
        <w:rPr>
          <w:color w:val="151515"/>
          <w:sz w:val="28"/>
          <w:szCs w:val="28"/>
        </w:rPr>
        <w:t xml:space="preserve">" 2004 </w:t>
      </w:r>
      <w:proofErr w:type="spellStart"/>
      <w:r w:rsidRPr="008932B0">
        <w:rPr>
          <w:color w:val="151515"/>
          <w:sz w:val="28"/>
          <w:szCs w:val="28"/>
        </w:rPr>
        <w:t>жылғы</w:t>
      </w:r>
      <w:proofErr w:type="spellEnd"/>
      <w:r w:rsidRPr="008932B0">
        <w:rPr>
          <w:color w:val="151515"/>
          <w:sz w:val="28"/>
          <w:szCs w:val="28"/>
        </w:rPr>
        <w:t xml:space="preserve"> 5 </w:t>
      </w:r>
      <w:proofErr w:type="spellStart"/>
      <w:r w:rsidRPr="008932B0">
        <w:rPr>
          <w:color w:val="151515"/>
          <w:sz w:val="28"/>
          <w:szCs w:val="28"/>
        </w:rPr>
        <w:t>шілдедегі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Заңы</w:t>
      </w:r>
      <w:proofErr w:type="spellEnd"/>
      <w:r w:rsidRPr="008932B0">
        <w:rPr>
          <w:color w:val="151515"/>
          <w:sz w:val="28"/>
          <w:szCs w:val="28"/>
        </w:rPr>
        <w:t xml:space="preserve"> 35-бабының </w:t>
      </w:r>
      <w:hyperlink r:id="rId4" w:anchor="z492" w:history="1">
        <w:r w:rsidRPr="008932B0">
          <w:rPr>
            <w:rStyle w:val="a3"/>
            <w:rFonts w:eastAsiaTheme="majorEastAsia"/>
            <w:color w:val="1565C0"/>
            <w:sz w:val="28"/>
            <w:szCs w:val="28"/>
          </w:rPr>
          <w:t>1-1-тармағына</w:t>
        </w:r>
      </w:hyperlink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сәйкес</w:t>
      </w:r>
      <w:proofErr w:type="spellEnd"/>
      <w:r w:rsidRPr="008932B0">
        <w:rPr>
          <w:color w:val="151515"/>
          <w:sz w:val="28"/>
          <w:szCs w:val="28"/>
        </w:rPr>
        <w:t xml:space="preserve"> БҰЙЫРАМЫН:</w:t>
      </w:r>
    </w:p>
    <w:p w14:paraId="5178E688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1. </w:t>
      </w:r>
      <w:proofErr w:type="spellStart"/>
      <w:r w:rsidRPr="008932B0">
        <w:rPr>
          <w:color w:val="151515"/>
          <w:sz w:val="28"/>
          <w:szCs w:val="28"/>
        </w:rPr>
        <w:t>Қоса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беріліп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отырған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Байланыс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қызметтерінің</w:t>
      </w:r>
      <w:proofErr w:type="spellEnd"/>
      <w:r w:rsidRPr="008932B0">
        <w:rPr>
          <w:color w:val="151515"/>
          <w:sz w:val="28"/>
          <w:szCs w:val="28"/>
        </w:rPr>
        <w:t> </w:t>
      </w:r>
      <w:hyperlink r:id="rId5" w:anchor="z10" w:history="1">
        <w:r w:rsidRPr="008932B0">
          <w:rPr>
            <w:rStyle w:val="a3"/>
            <w:rFonts w:eastAsiaTheme="majorEastAsia"/>
            <w:color w:val="1565C0"/>
            <w:sz w:val="28"/>
            <w:szCs w:val="28"/>
          </w:rPr>
          <w:t xml:space="preserve">сапа </w:t>
        </w:r>
        <w:proofErr w:type="spellStart"/>
        <w:r w:rsidRPr="008932B0">
          <w:rPr>
            <w:rStyle w:val="a3"/>
            <w:rFonts w:eastAsiaTheme="majorEastAsia"/>
            <w:color w:val="1565C0"/>
            <w:sz w:val="28"/>
            <w:szCs w:val="28"/>
          </w:rPr>
          <w:t>көрсеткіштері</w:t>
        </w:r>
        <w:proofErr w:type="spellEnd"/>
      </w:hyperlink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бекітілсін</w:t>
      </w:r>
      <w:proofErr w:type="spellEnd"/>
      <w:r w:rsidRPr="008932B0">
        <w:rPr>
          <w:color w:val="151515"/>
          <w:sz w:val="28"/>
          <w:szCs w:val="28"/>
        </w:rPr>
        <w:t>.</w:t>
      </w:r>
    </w:p>
    <w:p w14:paraId="2630D95B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2.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Ақпарат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коммуникациялар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министрлігінің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Байланыс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ақпараттандыру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бұқаралық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ақпарат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құралдары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саласындағы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мемлекеттік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бақылау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комитеті</w:t>
      </w:r>
      <w:proofErr w:type="spellEnd"/>
      <w:r w:rsidRPr="008932B0">
        <w:rPr>
          <w:color w:val="151515"/>
          <w:sz w:val="28"/>
          <w:szCs w:val="28"/>
        </w:rPr>
        <w:t xml:space="preserve"> (А.Ғ. </w:t>
      </w:r>
      <w:proofErr w:type="spellStart"/>
      <w:r w:rsidRPr="008932B0">
        <w:rPr>
          <w:color w:val="151515"/>
          <w:sz w:val="28"/>
          <w:szCs w:val="28"/>
        </w:rPr>
        <w:t>Қожықов</w:t>
      </w:r>
      <w:proofErr w:type="spellEnd"/>
      <w:r w:rsidRPr="008932B0">
        <w:rPr>
          <w:color w:val="151515"/>
          <w:sz w:val="28"/>
          <w:szCs w:val="28"/>
        </w:rPr>
        <w:t xml:space="preserve">) </w:t>
      </w:r>
      <w:proofErr w:type="spellStart"/>
      <w:r w:rsidRPr="008932B0">
        <w:rPr>
          <w:color w:val="151515"/>
          <w:sz w:val="28"/>
          <w:szCs w:val="28"/>
        </w:rPr>
        <w:t>заңнамада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белгіленген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тәртіппен</w:t>
      </w:r>
      <w:proofErr w:type="spellEnd"/>
      <w:r w:rsidRPr="008932B0">
        <w:rPr>
          <w:color w:val="151515"/>
          <w:sz w:val="28"/>
          <w:szCs w:val="28"/>
        </w:rPr>
        <w:t>:</w:t>
      </w:r>
    </w:p>
    <w:p w14:paraId="3B0F4BC1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1) осы </w:t>
      </w:r>
      <w:proofErr w:type="spellStart"/>
      <w:r w:rsidRPr="008932B0">
        <w:rPr>
          <w:color w:val="151515"/>
          <w:sz w:val="28"/>
          <w:szCs w:val="28"/>
        </w:rPr>
        <w:t>бұйрықтың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Әділет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министрлігінде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мемлекеттік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тіркелуін</w:t>
      </w:r>
      <w:proofErr w:type="spellEnd"/>
      <w:r w:rsidRPr="008932B0">
        <w:rPr>
          <w:color w:val="151515"/>
          <w:sz w:val="28"/>
          <w:szCs w:val="28"/>
        </w:rPr>
        <w:t>;</w:t>
      </w:r>
    </w:p>
    <w:p w14:paraId="54DA00D5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2) осы </w:t>
      </w:r>
      <w:proofErr w:type="spellStart"/>
      <w:r w:rsidRPr="008932B0">
        <w:rPr>
          <w:color w:val="151515"/>
          <w:sz w:val="28"/>
          <w:szCs w:val="28"/>
        </w:rPr>
        <w:t>бұйрық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мемлекеттік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тіркелген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күнінен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бастап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күнтізбелік</w:t>
      </w:r>
      <w:proofErr w:type="spellEnd"/>
      <w:r w:rsidRPr="008932B0">
        <w:rPr>
          <w:color w:val="151515"/>
          <w:sz w:val="28"/>
          <w:szCs w:val="28"/>
        </w:rPr>
        <w:t xml:space="preserve"> он </w:t>
      </w:r>
      <w:proofErr w:type="spellStart"/>
      <w:r w:rsidRPr="008932B0">
        <w:rPr>
          <w:color w:val="151515"/>
          <w:sz w:val="28"/>
          <w:szCs w:val="28"/>
        </w:rPr>
        <w:t>күн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ішінде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қазақ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орыс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тілдеріндегі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көшірмелерін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қағаз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электрондық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түрде</w:t>
      </w:r>
      <w:proofErr w:type="spellEnd"/>
      <w:r w:rsidRPr="008932B0">
        <w:rPr>
          <w:color w:val="151515"/>
          <w:sz w:val="28"/>
          <w:szCs w:val="28"/>
        </w:rPr>
        <w:t xml:space="preserve"> "</w:t>
      </w:r>
      <w:proofErr w:type="spellStart"/>
      <w:r w:rsidRPr="008932B0">
        <w:rPr>
          <w:color w:val="151515"/>
          <w:sz w:val="28"/>
          <w:szCs w:val="28"/>
        </w:rPr>
        <w:t>Республикалық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құқықтық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ақпарат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орталығы</w:t>
      </w:r>
      <w:proofErr w:type="spellEnd"/>
      <w:r w:rsidRPr="008932B0">
        <w:rPr>
          <w:color w:val="151515"/>
          <w:sz w:val="28"/>
          <w:szCs w:val="28"/>
        </w:rPr>
        <w:t xml:space="preserve">" </w:t>
      </w:r>
      <w:proofErr w:type="spellStart"/>
      <w:r w:rsidRPr="008932B0">
        <w:rPr>
          <w:color w:val="151515"/>
          <w:sz w:val="28"/>
          <w:szCs w:val="28"/>
        </w:rPr>
        <w:t>шаруашылық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жүргізу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құқығындағы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мемлекеттік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кәсіпорнына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ресми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жариялауға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нормативтік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құқықтық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актілерінің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эталондық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бақылау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банкіне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енгізуге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жіберуді</w:t>
      </w:r>
      <w:proofErr w:type="spellEnd"/>
      <w:r w:rsidRPr="008932B0">
        <w:rPr>
          <w:color w:val="151515"/>
          <w:sz w:val="28"/>
          <w:szCs w:val="28"/>
        </w:rPr>
        <w:t>;</w:t>
      </w:r>
    </w:p>
    <w:p w14:paraId="4A5EBD6D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3) осы </w:t>
      </w:r>
      <w:proofErr w:type="spellStart"/>
      <w:r w:rsidRPr="008932B0">
        <w:rPr>
          <w:color w:val="151515"/>
          <w:sz w:val="28"/>
          <w:szCs w:val="28"/>
        </w:rPr>
        <w:t>бұйрықты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Ақпарат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коммуникациялар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министрлігінің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ресми</w:t>
      </w:r>
      <w:proofErr w:type="spellEnd"/>
      <w:r w:rsidRPr="008932B0">
        <w:rPr>
          <w:color w:val="151515"/>
          <w:sz w:val="28"/>
          <w:szCs w:val="28"/>
        </w:rPr>
        <w:t xml:space="preserve"> интернет-</w:t>
      </w:r>
      <w:proofErr w:type="spellStart"/>
      <w:r w:rsidRPr="008932B0">
        <w:rPr>
          <w:color w:val="151515"/>
          <w:sz w:val="28"/>
          <w:szCs w:val="28"/>
        </w:rPr>
        <w:t>ресурсында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орналастыруды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қамтамасыз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етсін</w:t>
      </w:r>
      <w:proofErr w:type="spellEnd"/>
      <w:r w:rsidRPr="008932B0">
        <w:rPr>
          <w:color w:val="151515"/>
          <w:sz w:val="28"/>
          <w:szCs w:val="28"/>
        </w:rPr>
        <w:t>.</w:t>
      </w:r>
    </w:p>
    <w:p w14:paraId="2F95D478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3. Осы </w:t>
      </w:r>
      <w:proofErr w:type="spellStart"/>
      <w:r w:rsidRPr="008932B0">
        <w:rPr>
          <w:color w:val="151515"/>
          <w:sz w:val="28"/>
          <w:szCs w:val="28"/>
        </w:rPr>
        <w:t>бұйрықтың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орындалуын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бақылау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жетекшілік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ететін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Қазақстан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Республикасының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Ақпарат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коммуникациялар</w:t>
      </w:r>
      <w:proofErr w:type="spellEnd"/>
      <w:r w:rsidRPr="008932B0">
        <w:rPr>
          <w:color w:val="151515"/>
          <w:sz w:val="28"/>
          <w:szCs w:val="28"/>
        </w:rPr>
        <w:t xml:space="preserve"> вице-</w:t>
      </w:r>
      <w:proofErr w:type="spellStart"/>
      <w:r w:rsidRPr="008932B0">
        <w:rPr>
          <w:color w:val="151515"/>
          <w:sz w:val="28"/>
          <w:szCs w:val="28"/>
        </w:rPr>
        <w:t>министріне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жүктелсін</w:t>
      </w:r>
      <w:proofErr w:type="spellEnd"/>
      <w:r w:rsidRPr="008932B0">
        <w:rPr>
          <w:color w:val="151515"/>
          <w:sz w:val="28"/>
          <w:szCs w:val="28"/>
        </w:rPr>
        <w:t>.</w:t>
      </w:r>
    </w:p>
    <w:p w14:paraId="2204B937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4. Осы </w:t>
      </w:r>
      <w:proofErr w:type="spellStart"/>
      <w:r w:rsidRPr="008932B0">
        <w:rPr>
          <w:color w:val="151515"/>
          <w:sz w:val="28"/>
          <w:szCs w:val="28"/>
        </w:rPr>
        <w:t>бұйрық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алғашқы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ресми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жарияланған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күнінен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кейін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күнтізбелік</w:t>
      </w:r>
      <w:proofErr w:type="spellEnd"/>
      <w:r w:rsidRPr="008932B0">
        <w:rPr>
          <w:color w:val="151515"/>
          <w:sz w:val="28"/>
          <w:szCs w:val="28"/>
        </w:rPr>
        <w:t xml:space="preserve"> он </w:t>
      </w:r>
      <w:proofErr w:type="spellStart"/>
      <w:r w:rsidRPr="008932B0">
        <w:rPr>
          <w:color w:val="151515"/>
          <w:sz w:val="28"/>
          <w:szCs w:val="28"/>
        </w:rPr>
        <w:t>күн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өткен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соң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қолданысқа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енгізіледі</w:t>
      </w:r>
      <w:proofErr w:type="spellEnd"/>
      <w:r w:rsidRPr="008932B0">
        <w:rPr>
          <w:color w:val="151515"/>
          <w:sz w:val="28"/>
          <w:szCs w:val="28"/>
        </w:rPr>
        <w:t>.</w:t>
      </w:r>
    </w:p>
    <w:tbl>
      <w:tblPr>
        <w:tblW w:w="9000" w:type="dxa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5844"/>
        <w:gridCol w:w="3156"/>
      </w:tblGrid>
      <w:tr w:rsidR="004206B3" w:rsidRPr="008932B0" w14:paraId="2A727B95" w14:textId="77777777" w:rsidTr="004206B3">
        <w:trPr>
          <w:tblCellSpacing w:w="15" w:type="dxa"/>
        </w:trPr>
        <w:tc>
          <w:tcPr>
            <w:tcW w:w="6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2409C" w14:textId="77777777" w:rsidR="004206B3" w:rsidRPr="008932B0" w:rsidRDefault="004206B3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8932B0">
              <w:rPr>
                <w:rFonts w:ascii="Times New Roman" w:hAnsi="Times New Roman" w:cs="Times New Roman"/>
                <w:i/>
                <w:iCs/>
                <w:color w:val="151515"/>
                <w:sz w:val="28"/>
                <w:szCs w:val="28"/>
              </w:rPr>
              <w:t>      Министр</w:t>
            </w:r>
          </w:p>
        </w:tc>
        <w:tc>
          <w:tcPr>
            <w:tcW w:w="322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55B0A" w14:textId="77777777" w:rsidR="004206B3" w:rsidRPr="008932B0" w:rsidRDefault="004206B3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8932B0">
              <w:rPr>
                <w:rFonts w:ascii="Times New Roman" w:hAnsi="Times New Roman" w:cs="Times New Roman"/>
                <w:i/>
                <w:iCs/>
                <w:color w:val="151515"/>
                <w:sz w:val="28"/>
                <w:szCs w:val="28"/>
              </w:rPr>
              <w:t>Д. Абаев</w:t>
            </w:r>
          </w:p>
        </w:tc>
      </w:tr>
    </w:tbl>
    <w:p w14:paraId="04FBBAA8" w14:textId="77777777" w:rsidR="004206B3" w:rsidRPr="008932B0" w:rsidRDefault="004206B3" w:rsidP="004206B3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5850"/>
        <w:gridCol w:w="3465"/>
      </w:tblGrid>
      <w:tr w:rsidR="004206B3" w:rsidRPr="008932B0" w14:paraId="0D9ACF95" w14:textId="77777777" w:rsidTr="004206B3">
        <w:trPr>
          <w:tblCellSpacing w:w="15" w:type="dxa"/>
        </w:trPr>
        <w:tc>
          <w:tcPr>
            <w:tcW w:w="580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462FF" w14:textId="77777777" w:rsidR="004206B3" w:rsidRPr="008932B0" w:rsidRDefault="004206B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 </w:t>
            </w:r>
          </w:p>
        </w:tc>
        <w:tc>
          <w:tcPr>
            <w:tcW w:w="34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6B1AC" w14:textId="77777777" w:rsidR="004206B3" w:rsidRPr="008932B0" w:rsidRDefault="004206B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bookmarkStart w:id="1" w:name="z9"/>
            <w:bookmarkEnd w:id="1"/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Қазақстан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Республикасы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Ақпарат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 және </w:t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коммуникациялар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министрінің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  <w:t xml:space="preserve">2017 </w:t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жылғы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 22 </w:t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қарашадағы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</w:r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lastRenderedPageBreak/>
              <w:t xml:space="preserve">№ 410 </w:t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бұйрығымен</w:t>
            </w:r>
            <w:proofErr w:type="spellEnd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</w:r>
            <w:proofErr w:type="spellStart"/>
            <w:r w:rsidRPr="008932B0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бекітілген</w:t>
            </w:r>
            <w:proofErr w:type="spellEnd"/>
          </w:p>
        </w:tc>
      </w:tr>
    </w:tbl>
    <w:p w14:paraId="071A2E2C" w14:textId="77777777" w:rsidR="004206B3" w:rsidRPr="008932B0" w:rsidRDefault="004206B3" w:rsidP="004206B3">
      <w:pPr>
        <w:pStyle w:val="3"/>
        <w:shd w:val="clear" w:color="auto" w:fill="FFFFFF"/>
        <w:rPr>
          <w:rFonts w:ascii="Times New Roman" w:hAnsi="Times New Roman" w:cs="Times New Roman"/>
          <w:color w:val="151515"/>
          <w:sz w:val="28"/>
          <w:szCs w:val="28"/>
        </w:rPr>
      </w:pPr>
      <w:proofErr w:type="spellStart"/>
      <w:r w:rsidRPr="008932B0">
        <w:rPr>
          <w:rFonts w:ascii="Times New Roman" w:hAnsi="Times New Roman" w:cs="Times New Roman"/>
          <w:b/>
          <w:bCs/>
          <w:color w:val="151515"/>
          <w:sz w:val="28"/>
          <w:szCs w:val="28"/>
        </w:rPr>
        <w:lastRenderedPageBreak/>
        <w:t>Байланыс</w:t>
      </w:r>
      <w:proofErr w:type="spellEnd"/>
      <w:r w:rsidRPr="008932B0">
        <w:rPr>
          <w:rFonts w:ascii="Times New Roman" w:hAnsi="Times New Roman" w:cs="Times New Roman"/>
          <w:b/>
          <w:bCs/>
          <w:color w:val="151515"/>
          <w:sz w:val="28"/>
          <w:szCs w:val="28"/>
        </w:rPr>
        <w:t xml:space="preserve"> </w:t>
      </w:r>
      <w:proofErr w:type="spellStart"/>
      <w:r w:rsidRPr="008932B0">
        <w:rPr>
          <w:rFonts w:ascii="Times New Roman" w:hAnsi="Times New Roman" w:cs="Times New Roman"/>
          <w:b/>
          <w:bCs/>
          <w:color w:val="151515"/>
          <w:sz w:val="28"/>
          <w:szCs w:val="28"/>
        </w:rPr>
        <w:t>қызметтерінің</w:t>
      </w:r>
      <w:proofErr w:type="spellEnd"/>
      <w:r w:rsidRPr="008932B0">
        <w:rPr>
          <w:rFonts w:ascii="Times New Roman" w:hAnsi="Times New Roman" w:cs="Times New Roman"/>
          <w:b/>
          <w:bCs/>
          <w:color w:val="151515"/>
          <w:sz w:val="28"/>
          <w:szCs w:val="28"/>
        </w:rPr>
        <w:t xml:space="preserve"> сапа </w:t>
      </w:r>
      <w:proofErr w:type="spellStart"/>
      <w:r w:rsidRPr="008932B0">
        <w:rPr>
          <w:rFonts w:ascii="Times New Roman" w:hAnsi="Times New Roman" w:cs="Times New Roman"/>
          <w:b/>
          <w:bCs/>
          <w:color w:val="151515"/>
          <w:sz w:val="28"/>
          <w:szCs w:val="28"/>
        </w:rPr>
        <w:t>көрсеткіштері</w:t>
      </w:r>
      <w:proofErr w:type="spellEnd"/>
    </w:p>
    <w:p w14:paraId="1269F374" w14:textId="77777777" w:rsidR="004206B3" w:rsidRPr="008932B0" w:rsidRDefault="004206B3" w:rsidP="004206B3">
      <w:pPr>
        <w:pStyle w:val="note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</w:t>
      </w:r>
      <w:proofErr w:type="spellStart"/>
      <w:r w:rsidRPr="008932B0">
        <w:rPr>
          <w:color w:val="151515"/>
          <w:sz w:val="28"/>
          <w:szCs w:val="28"/>
        </w:rPr>
        <w:t>Ескерту</w:t>
      </w:r>
      <w:proofErr w:type="spellEnd"/>
      <w:r w:rsidRPr="008932B0">
        <w:rPr>
          <w:color w:val="151515"/>
          <w:sz w:val="28"/>
          <w:szCs w:val="28"/>
        </w:rPr>
        <w:t xml:space="preserve">. </w:t>
      </w:r>
      <w:proofErr w:type="spellStart"/>
      <w:r w:rsidRPr="008932B0">
        <w:rPr>
          <w:color w:val="151515"/>
          <w:sz w:val="28"/>
          <w:szCs w:val="28"/>
        </w:rPr>
        <w:t>Көрсеткіштер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жаңа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редакцияда</w:t>
      </w:r>
      <w:proofErr w:type="spellEnd"/>
      <w:r w:rsidRPr="008932B0">
        <w:rPr>
          <w:color w:val="151515"/>
          <w:sz w:val="28"/>
          <w:szCs w:val="28"/>
        </w:rPr>
        <w:t xml:space="preserve"> - ҚР </w:t>
      </w:r>
      <w:proofErr w:type="spellStart"/>
      <w:r w:rsidRPr="008932B0">
        <w:rPr>
          <w:color w:val="151515"/>
          <w:sz w:val="28"/>
          <w:szCs w:val="28"/>
        </w:rPr>
        <w:t>Цифрлық</w:t>
      </w:r>
      <w:proofErr w:type="spellEnd"/>
      <w:r w:rsidRPr="008932B0">
        <w:rPr>
          <w:color w:val="151515"/>
          <w:sz w:val="28"/>
          <w:szCs w:val="28"/>
        </w:rPr>
        <w:t xml:space="preserve"> даму, </w:t>
      </w:r>
      <w:proofErr w:type="spellStart"/>
      <w:r w:rsidRPr="008932B0">
        <w:rPr>
          <w:color w:val="151515"/>
          <w:sz w:val="28"/>
          <w:szCs w:val="28"/>
        </w:rPr>
        <w:t>инновациялар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аэроғарыш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өнеркәсібі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министрінің</w:t>
      </w:r>
      <w:proofErr w:type="spellEnd"/>
      <w:r w:rsidRPr="008932B0">
        <w:rPr>
          <w:color w:val="151515"/>
          <w:sz w:val="28"/>
          <w:szCs w:val="28"/>
        </w:rPr>
        <w:t xml:space="preserve"> 19.02.2021 </w:t>
      </w:r>
      <w:hyperlink r:id="rId6" w:anchor="z3" w:history="1">
        <w:r w:rsidRPr="008932B0">
          <w:rPr>
            <w:rStyle w:val="a3"/>
            <w:rFonts w:eastAsiaTheme="majorEastAsia"/>
            <w:color w:val="1565C0"/>
            <w:sz w:val="28"/>
            <w:szCs w:val="28"/>
          </w:rPr>
          <w:t>№ 64/НҚ</w:t>
        </w:r>
      </w:hyperlink>
      <w:r w:rsidRPr="008932B0">
        <w:rPr>
          <w:color w:val="151515"/>
          <w:sz w:val="28"/>
          <w:szCs w:val="28"/>
        </w:rPr>
        <w:t> (</w:t>
      </w:r>
      <w:proofErr w:type="spellStart"/>
      <w:r w:rsidRPr="008932B0">
        <w:rPr>
          <w:color w:val="151515"/>
          <w:sz w:val="28"/>
          <w:szCs w:val="28"/>
        </w:rPr>
        <w:t>алғаш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ресми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жарияланған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күнінен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кейін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күнтізбелік</w:t>
      </w:r>
      <w:proofErr w:type="spellEnd"/>
      <w:r w:rsidRPr="008932B0">
        <w:rPr>
          <w:color w:val="151515"/>
          <w:sz w:val="28"/>
          <w:szCs w:val="28"/>
        </w:rPr>
        <w:t xml:space="preserve"> он </w:t>
      </w:r>
      <w:proofErr w:type="spellStart"/>
      <w:r w:rsidRPr="008932B0">
        <w:rPr>
          <w:color w:val="151515"/>
          <w:sz w:val="28"/>
          <w:szCs w:val="28"/>
        </w:rPr>
        <w:t>күн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өткен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соң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қолданысқа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енгізіледі</w:t>
      </w:r>
      <w:proofErr w:type="spellEnd"/>
      <w:r w:rsidRPr="008932B0">
        <w:rPr>
          <w:color w:val="151515"/>
          <w:sz w:val="28"/>
          <w:szCs w:val="28"/>
        </w:rPr>
        <w:t xml:space="preserve">) </w:t>
      </w:r>
      <w:proofErr w:type="spellStart"/>
      <w:r w:rsidRPr="008932B0">
        <w:rPr>
          <w:color w:val="151515"/>
          <w:sz w:val="28"/>
          <w:szCs w:val="28"/>
        </w:rPr>
        <w:t>бұйрығымен</w:t>
      </w:r>
      <w:proofErr w:type="spellEnd"/>
      <w:r w:rsidRPr="008932B0">
        <w:rPr>
          <w:color w:val="151515"/>
          <w:sz w:val="28"/>
          <w:szCs w:val="28"/>
        </w:rPr>
        <w:t>.</w:t>
      </w:r>
    </w:p>
    <w:tbl>
      <w:tblPr>
        <w:tblW w:w="9225" w:type="dxa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339"/>
        <w:gridCol w:w="1865"/>
        <w:gridCol w:w="1080"/>
        <w:gridCol w:w="517"/>
        <w:gridCol w:w="972"/>
        <w:gridCol w:w="306"/>
        <w:gridCol w:w="205"/>
        <w:gridCol w:w="2193"/>
        <w:gridCol w:w="239"/>
        <w:gridCol w:w="205"/>
        <w:gridCol w:w="1434"/>
      </w:tblGrid>
      <w:tr w:rsidR="004206B3" w:rsidRPr="008932B0" w14:paraId="71B8A807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D55BA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E76F7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Ұялы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қызметтерінің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сапа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6DCFD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Көрсеткіштің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</w:p>
        </w:tc>
      </w:tr>
      <w:tr w:rsidR="004206B3" w:rsidRPr="008932B0" w14:paraId="7B82AFF5" w14:textId="77777777" w:rsidTr="004206B3">
        <w:trPr>
          <w:tblCellSpacing w:w="15" w:type="dxa"/>
        </w:trPr>
        <w:tc>
          <w:tcPr>
            <w:tcW w:w="0" w:type="auto"/>
            <w:gridSpan w:val="11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317BE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Дауыс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қызметтерінің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сапа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көрсеткіштері</w:t>
            </w:r>
            <w:proofErr w:type="spellEnd"/>
          </w:p>
        </w:tc>
      </w:tr>
      <w:tr w:rsidR="004206B3" w:rsidRPr="008932B0" w14:paraId="023C8D3E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54556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1CD7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Ұялы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абонентімен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қосылуды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орнату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кезінде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жалпы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санынан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сәтсіз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4CE5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3%</w:t>
            </w:r>
          </w:p>
        </w:tc>
      </w:tr>
      <w:tr w:rsidR="004206B3" w:rsidRPr="008932B0" w14:paraId="3686AF5C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32863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145E4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Тіркелген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телефон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абонентімен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қосылуды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орнату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кезінде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жалпы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санынан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сәтсіз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532A3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2.5%</w:t>
            </w:r>
          </w:p>
        </w:tc>
      </w:tr>
      <w:tr w:rsidR="004206B3" w:rsidRPr="008932B0" w14:paraId="05DE34AF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2252D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91780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Абоненттің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бастамасынсыз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орнатылған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қосылулардың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ажырауымен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аяқталған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74F6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3%</w:t>
            </w:r>
          </w:p>
        </w:tc>
      </w:tr>
      <w:tr w:rsidR="004206B3" w:rsidRPr="008932B0" w14:paraId="13674B70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7C044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7CE5D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Сөздерді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сапасы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нормативтерді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қанағаттандырмайтын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шақырулардың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br/>
              <w:t>(MOS POLQA &lt; 2,8)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4A193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8%</w:t>
            </w:r>
          </w:p>
        </w:tc>
      </w:tr>
      <w:tr w:rsidR="004206B3" w:rsidRPr="008932B0" w14:paraId="45B5C770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5C2A7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97EFF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Ұялы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сол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өңірдегі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ұялы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телефон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қосылуын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орнатуды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аяқтаудың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орташа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уақыты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9E01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8 сек</w:t>
            </w:r>
          </w:p>
        </w:tc>
      </w:tr>
      <w:tr w:rsidR="004206B3" w:rsidRPr="008932B0" w14:paraId="44F3D5F0" w14:textId="77777777" w:rsidTr="004206B3">
        <w:trPr>
          <w:tblCellSpacing w:w="15" w:type="dxa"/>
        </w:trPr>
        <w:tc>
          <w:tcPr>
            <w:tcW w:w="0" w:type="auto"/>
            <w:gridSpan w:val="11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0F6AA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Ұялы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операторының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лицензиялық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міндеттемелеріне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сәйкес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жылжымалы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желілері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арқылы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Интернетке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қол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жеткізу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қызметтерінің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сапа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көрсеткіштері</w:t>
            </w:r>
            <w:proofErr w:type="spellEnd"/>
          </w:p>
        </w:tc>
      </w:tr>
      <w:tr w:rsidR="004206B3" w:rsidRPr="008932B0" w14:paraId="5E14E192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32D88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68FF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HTTP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сәтті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сессияларының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E2DEE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95%</w:t>
            </w:r>
            <w:r w:rsidRPr="008932B0">
              <w:rPr>
                <w:color w:val="151515"/>
                <w:sz w:val="28"/>
                <w:szCs w:val="28"/>
                <w:vertAlign w:val="superscript"/>
              </w:rPr>
              <w:t>і</w:t>
            </w:r>
          </w:p>
        </w:tc>
      </w:tr>
      <w:tr w:rsidR="004206B3" w:rsidRPr="008932B0" w14:paraId="5656E998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E7D45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8BB1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"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Төмен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"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бағыты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FTР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сәтті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сессияларының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E91AA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95% </w:t>
            </w:r>
            <w:r w:rsidRPr="008932B0">
              <w:rPr>
                <w:color w:val="151515"/>
                <w:sz w:val="28"/>
                <w:szCs w:val="28"/>
                <w:vertAlign w:val="superscript"/>
              </w:rPr>
              <w:t>1</w:t>
            </w:r>
          </w:p>
        </w:tc>
      </w:tr>
      <w:tr w:rsidR="004206B3" w:rsidRPr="008932B0" w14:paraId="63571453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C46F5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AFD93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HTTP WEB-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парақшасын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сессияларының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сәтті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әрекеттерінің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E9857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95% </w:t>
            </w:r>
            <w:proofErr w:type="spellStart"/>
            <w:r w:rsidRPr="008932B0">
              <w:rPr>
                <w:color w:val="151515"/>
                <w:sz w:val="28"/>
                <w:szCs w:val="28"/>
                <w:vertAlign w:val="superscript"/>
              </w:rPr>
              <w:t>іі</w:t>
            </w:r>
            <w:proofErr w:type="spellEnd"/>
          </w:p>
        </w:tc>
      </w:tr>
      <w:tr w:rsidR="004206B3" w:rsidRPr="008932B0" w14:paraId="280CA8CA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3A260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8F7C4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FTP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орташа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жылдамдығы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"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төмен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"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2 Мбит/с кем (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лицензиялық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міндеттемелерге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сәйкес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Д0, Д1, Д2, Д3 классы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үшін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)</w:t>
            </w:r>
            <w:proofErr w:type="spellStart"/>
            <w:r w:rsidRPr="008932B0">
              <w:rPr>
                <w:color w:val="151515"/>
                <w:sz w:val="28"/>
                <w:szCs w:val="28"/>
                <w:vertAlign w:val="superscript"/>
              </w:rPr>
              <w:t>ііі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6119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10%</w:t>
            </w:r>
          </w:p>
        </w:tc>
      </w:tr>
      <w:tr w:rsidR="004206B3" w:rsidRPr="008932B0" w14:paraId="3BC4C7B2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4214E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E719A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FTP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орташа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жылдамдығы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3G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"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төмен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"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1 Мбит/с кем (С1С, О1С классы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үшін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)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8C04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10%</w:t>
            </w:r>
          </w:p>
        </w:tc>
      </w:tr>
      <w:tr w:rsidR="004206B3" w:rsidRPr="008932B0" w14:paraId="30FEF25C" w14:textId="77777777" w:rsidTr="004206B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DD895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A895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FTP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жүктеудің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орташа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жылдамдығы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үлесі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4G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"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төмен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"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5 Мбит/с кем (С1С, О1С классы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үшін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)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3DE2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10%</w:t>
            </w:r>
          </w:p>
        </w:tc>
      </w:tr>
      <w:tr w:rsidR="004206B3" w:rsidRPr="008932B0" w14:paraId="269B3736" w14:textId="77777777" w:rsidTr="004206B3">
        <w:trPr>
          <w:tblCellSpacing w:w="15" w:type="dxa"/>
        </w:trPr>
        <w:tc>
          <w:tcPr>
            <w:tcW w:w="0" w:type="auto"/>
            <w:gridSpan w:val="11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48BFD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Байланысты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қамтудың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сапа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көрсеткіштері</w:t>
            </w:r>
            <w:proofErr w:type="spellEnd"/>
          </w:p>
        </w:tc>
      </w:tr>
      <w:tr w:rsidR="004206B3" w:rsidRPr="008932B0" w14:paraId="582F7EC5" w14:textId="77777777" w:rsidTr="004206B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1E557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4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8027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</w:t>
            </w:r>
            <w:proofErr w:type="spellEnd"/>
          </w:p>
        </w:tc>
        <w:tc>
          <w:tcPr>
            <w:tcW w:w="0" w:type="auto"/>
            <w:gridSpan w:val="6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34A1F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Елді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мекеннің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типі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 </w:t>
            </w:r>
            <w:proofErr w:type="spellStart"/>
            <w:r w:rsidRPr="008932B0">
              <w:rPr>
                <w:color w:val="151515"/>
                <w:sz w:val="28"/>
                <w:szCs w:val="28"/>
                <w:vertAlign w:val="superscript"/>
              </w:rPr>
              <w:t>іv</w:t>
            </w:r>
            <w:proofErr w:type="spellEnd"/>
          </w:p>
        </w:tc>
      </w:tr>
      <w:tr w:rsidR="004206B3" w:rsidRPr="008932B0" w14:paraId="031E6865" w14:textId="77777777" w:rsidTr="004206B3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11F40FB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4"/>
            <w:vMerge/>
            <w:shd w:val="clear" w:color="auto" w:fill="FFFFFF"/>
            <w:vAlign w:val="center"/>
            <w:hideMark/>
          </w:tcPr>
          <w:p w14:paraId="170CA8DD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6EB4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D814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44864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A23DC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4</w:t>
            </w:r>
          </w:p>
        </w:tc>
      </w:tr>
      <w:tr w:rsidR="004206B3" w:rsidRPr="008932B0" w14:paraId="064CC2C1" w14:textId="77777777" w:rsidTr="004206B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97AA61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03438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RSSІ (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Receіved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Sіgnal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br/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Strength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Іndіcator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) - 2G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сигнал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деңгейінің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dBm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FFED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Бастапқы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 </w:t>
            </w:r>
            <w:r w:rsidRPr="008932B0">
              <w:rPr>
                <w:color w:val="151515"/>
                <w:sz w:val="28"/>
                <w:szCs w:val="28"/>
                <w:vertAlign w:val="superscript"/>
              </w:rPr>
              <w:t>v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F73C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≤-75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9DA6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≤-85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BBECF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≤-95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409E7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≤-95</w:t>
            </w:r>
          </w:p>
        </w:tc>
      </w:tr>
      <w:tr w:rsidR="004206B3" w:rsidRPr="008932B0" w14:paraId="291AA72F" w14:textId="77777777" w:rsidTr="004206B3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9D825E1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0431F252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9F58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Рұқсат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етілген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пайыз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 </w:t>
            </w:r>
            <w:proofErr w:type="spellStart"/>
            <w:r w:rsidRPr="008932B0">
              <w:rPr>
                <w:color w:val="151515"/>
                <w:sz w:val="28"/>
                <w:szCs w:val="28"/>
                <w:vertAlign w:val="superscript"/>
              </w:rPr>
              <w:t>vі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, %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C14CD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6EC7E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B667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6515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</w:tr>
      <w:tr w:rsidR="004206B3" w:rsidRPr="008932B0" w14:paraId="35682002" w14:textId="77777777" w:rsidTr="004206B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C7B3B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0795F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CPІCH RSCP – 3G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сканерлеуші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қабылдағышының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кіруінде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қабылданатын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пайдалы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сигналдың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деңгейі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dBm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D23EE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Бастапқы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F82306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 -80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64748C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≤-90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7F0C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≤-100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C0A68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≤-105</w:t>
            </w:r>
          </w:p>
        </w:tc>
      </w:tr>
      <w:tr w:rsidR="004206B3" w:rsidRPr="008932B0" w14:paraId="30FC0767" w14:textId="77777777" w:rsidTr="004206B3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6A0B99A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0EFD30B9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2F2B7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Рұқсат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етілген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пайыз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, %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66113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FA12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55EB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F18EC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</w:tr>
      <w:tr w:rsidR="004206B3" w:rsidRPr="008932B0" w14:paraId="7AC938FC" w14:textId="77777777" w:rsidTr="004206B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4C306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A9764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Ec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/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Іo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– 3G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шуға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пайдалы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сигналдың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қатысы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dB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ECBD7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Бастапқы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EE241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AA7DC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6915D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392F3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&lt;15</w:t>
            </w:r>
          </w:p>
        </w:tc>
      </w:tr>
      <w:tr w:rsidR="004206B3" w:rsidRPr="008932B0" w14:paraId="74A7124D" w14:textId="77777777" w:rsidTr="004206B3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49C0B0B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41606343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CD90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Рұқсат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етілген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пайыз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, %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ADE922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59B29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AE5D9F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A5B8D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15</w:t>
            </w:r>
          </w:p>
        </w:tc>
      </w:tr>
      <w:tr w:rsidR="004206B3" w:rsidRPr="008932B0" w14:paraId="305204FD" w14:textId="77777777" w:rsidTr="004206B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760B42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AC368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RSRP-4G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технологиясының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сканерлеуші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қабылдағышының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кіруіндедегі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қабылданған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тірек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сигналдар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күшінің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орташа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dBm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76438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Бастапқы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мәні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C8080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 -100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3A854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 -105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7689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≤ -105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3DEAA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Нормалауға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жатпайды</w:t>
            </w:r>
            <w:proofErr w:type="spellEnd"/>
          </w:p>
        </w:tc>
      </w:tr>
      <w:tr w:rsidR="004206B3" w:rsidRPr="008932B0" w14:paraId="4E44CDF5" w14:textId="77777777" w:rsidTr="004206B3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5963799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7EDFD2AD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23ED7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Рұқсат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етілген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пайыз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, %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1B205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743A8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B55B3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15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6F3B3C9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</w:tr>
      <w:tr w:rsidR="004206B3" w:rsidRPr="008932B0" w14:paraId="08DB616E" w14:textId="77777777" w:rsidTr="004206B3">
        <w:trPr>
          <w:tblCellSpacing w:w="15" w:type="dxa"/>
        </w:trPr>
        <w:tc>
          <w:tcPr>
            <w:tcW w:w="0" w:type="auto"/>
            <w:gridSpan w:val="11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9E02BA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Тіркелген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желілері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арқылы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Интернетке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қол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жеткізу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қызметтері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сапасының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көрсеткіштері</w:t>
            </w:r>
            <w:proofErr w:type="spellEnd"/>
          </w:p>
        </w:tc>
      </w:tr>
      <w:tr w:rsidR="004206B3" w:rsidRPr="008932B0" w14:paraId="151F786F" w14:textId="77777777" w:rsidTr="004206B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573DA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lastRenderedPageBreak/>
              <w:t>Қосылу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A698F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арнасының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өткізу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қабілеті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, Мбит/с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053FC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ІP-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пакеттердің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кідіру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уақыты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емес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2DDDC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ІP-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пакеттердің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кідіру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вариациясы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емес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62FAA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ІP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пакеттерін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жоғалту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емес</w:t>
            </w:r>
            <w:proofErr w:type="spellEnd"/>
          </w:p>
        </w:tc>
      </w:tr>
      <w:tr w:rsidR="004206B3" w:rsidRPr="008932B0" w14:paraId="2E6E5BDC" w14:textId="77777777" w:rsidTr="004206B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BEE8C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ТОБЖ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ұйымдастырылған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арналары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өлшеу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объектісі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мен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оператордың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орналасқан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тест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/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бақылаудың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аппараттық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құралы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арасында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кезінде</w:t>
            </w:r>
            <w:proofErr w:type="spellEnd"/>
          </w:p>
        </w:tc>
        <w:tc>
          <w:tcPr>
            <w:tcW w:w="0" w:type="auto"/>
            <w:gridSpan w:val="2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B61DA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тарифтік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жоспарда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шартта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белгіленген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мәннен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кемінде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70%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5BEBE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20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32AA2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10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757C0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0,2%</w:t>
            </w:r>
          </w:p>
        </w:tc>
      </w:tr>
      <w:tr w:rsidR="004206B3" w:rsidRPr="008932B0" w14:paraId="00A49572" w14:textId="77777777" w:rsidTr="004206B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6CB1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ТОБЖ+өрілген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жұп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,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РРЛ+өлшеу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объектісі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мен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оператордың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орналасқан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тест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/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бақылаудың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аппараттық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құралы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арасындағы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өрілген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жұп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типті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байланыстың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құрамдас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арналары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кезінде</w:t>
            </w:r>
            <w:proofErr w:type="spellEnd"/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176AAFE4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A7293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150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A6CD0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50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6D2156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0,3%</w:t>
            </w:r>
          </w:p>
        </w:tc>
      </w:tr>
      <w:tr w:rsidR="004206B3" w:rsidRPr="008932B0" w14:paraId="59FC27CA" w14:textId="77777777" w:rsidTr="004206B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5E88B" w14:textId="77777777" w:rsidR="004206B3" w:rsidRPr="008932B0" w:rsidRDefault="004206B3">
            <w:pPr>
              <w:pStyle w:val="a4"/>
              <w:spacing w:before="0" w:beforeAutospacing="0" w:line="256" w:lineRule="auto"/>
              <w:rPr>
                <w:color w:val="151515"/>
                <w:sz w:val="28"/>
                <w:szCs w:val="28"/>
              </w:rPr>
            </w:pPr>
            <w:proofErr w:type="spellStart"/>
            <w:r w:rsidRPr="008932B0">
              <w:rPr>
                <w:color w:val="151515"/>
                <w:sz w:val="28"/>
                <w:szCs w:val="28"/>
              </w:rPr>
              <w:lastRenderedPageBreak/>
              <w:t>Өлшеу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объектісі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мен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оператордың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желісінде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орналасқан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тест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сервері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>/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бақылаудың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аппараттық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құралы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арасындағы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бір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жерсеріктік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учаскемен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байланыстың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құрамдас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арналары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бойынша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деректерді</w:t>
            </w:r>
            <w:proofErr w:type="spellEnd"/>
            <w:r w:rsidRPr="008932B0">
              <w:rPr>
                <w:color w:val="151515"/>
                <w:sz w:val="28"/>
                <w:szCs w:val="28"/>
              </w:rPr>
              <w:t xml:space="preserve"> беру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кезінде</w:t>
            </w:r>
            <w:proofErr w:type="spellEnd"/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0EB6E3D5" w14:textId="77777777" w:rsidR="004206B3" w:rsidRPr="008932B0" w:rsidRDefault="004206B3">
            <w:pPr>
              <w:spacing w:after="0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KZ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F1E53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400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B159F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 xml:space="preserve">50 </w:t>
            </w:r>
            <w:proofErr w:type="spellStart"/>
            <w:r w:rsidRPr="008932B0">
              <w:rPr>
                <w:color w:val="151515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92277" w14:textId="77777777" w:rsidR="004206B3" w:rsidRPr="008932B0" w:rsidRDefault="004206B3">
            <w:pPr>
              <w:pStyle w:val="a4"/>
              <w:spacing w:before="0" w:beforeAutospacing="0" w:line="256" w:lineRule="auto"/>
              <w:jc w:val="center"/>
              <w:rPr>
                <w:color w:val="151515"/>
                <w:sz w:val="28"/>
                <w:szCs w:val="28"/>
              </w:rPr>
            </w:pPr>
            <w:r w:rsidRPr="008932B0">
              <w:rPr>
                <w:color w:val="151515"/>
                <w:sz w:val="28"/>
                <w:szCs w:val="28"/>
              </w:rPr>
              <w:t>0,5%</w:t>
            </w:r>
          </w:p>
        </w:tc>
      </w:tr>
    </w:tbl>
    <w:p w14:paraId="398F5430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</w:t>
      </w:r>
      <w:proofErr w:type="spellStart"/>
      <w:r w:rsidRPr="008932B0">
        <w:rPr>
          <w:color w:val="151515"/>
          <w:sz w:val="28"/>
          <w:szCs w:val="28"/>
        </w:rPr>
        <w:t>Аббревиатуралар</w:t>
      </w:r>
      <w:proofErr w:type="spellEnd"/>
      <w:r w:rsidRPr="008932B0">
        <w:rPr>
          <w:color w:val="151515"/>
          <w:sz w:val="28"/>
          <w:szCs w:val="28"/>
        </w:rPr>
        <w:t xml:space="preserve"> мен </w:t>
      </w:r>
      <w:proofErr w:type="spellStart"/>
      <w:r w:rsidRPr="008932B0">
        <w:rPr>
          <w:color w:val="151515"/>
          <w:sz w:val="28"/>
          <w:szCs w:val="28"/>
        </w:rPr>
        <w:t>қысқартулар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тізімі</w:t>
      </w:r>
      <w:proofErr w:type="spellEnd"/>
      <w:r w:rsidRPr="008932B0">
        <w:rPr>
          <w:color w:val="151515"/>
          <w:sz w:val="28"/>
          <w:szCs w:val="28"/>
        </w:rPr>
        <w:t>:</w:t>
      </w:r>
    </w:p>
    <w:p w14:paraId="4A9D8D2E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MOS – </w:t>
      </w:r>
      <w:proofErr w:type="spellStart"/>
      <w:r w:rsidRPr="008932B0">
        <w:rPr>
          <w:color w:val="151515"/>
          <w:sz w:val="28"/>
          <w:szCs w:val="28"/>
        </w:rPr>
        <w:t>сөйлеу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түсінігін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орташа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бағалау</w:t>
      </w:r>
      <w:proofErr w:type="spellEnd"/>
    </w:p>
    <w:p w14:paraId="193DEC17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HTTP – </w:t>
      </w:r>
      <w:proofErr w:type="spellStart"/>
      <w:r w:rsidRPr="008932B0">
        <w:rPr>
          <w:color w:val="151515"/>
          <w:sz w:val="28"/>
          <w:szCs w:val="28"/>
        </w:rPr>
        <w:t>деректерді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жіберу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хаттамасы</w:t>
      </w:r>
      <w:proofErr w:type="spellEnd"/>
    </w:p>
    <w:p w14:paraId="7796E1AE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FTP – </w:t>
      </w:r>
      <w:proofErr w:type="spellStart"/>
      <w:r w:rsidRPr="008932B0">
        <w:rPr>
          <w:color w:val="151515"/>
          <w:sz w:val="28"/>
          <w:szCs w:val="28"/>
        </w:rPr>
        <w:t>желі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бойынша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файлдарды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жіберу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хаттамасы</w:t>
      </w:r>
      <w:proofErr w:type="spellEnd"/>
    </w:p>
    <w:p w14:paraId="725CBA4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WEB - интернет </w:t>
      </w:r>
      <w:proofErr w:type="spellStart"/>
      <w:r w:rsidRPr="008932B0">
        <w:rPr>
          <w:color w:val="151515"/>
          <w:sz w:val="28"/>
          <w:szCs w:val="28"/>
        </w:rPr>
        <w:t>кеңістік</w:t>
      </w:r>
      <w:proofErr w:type="spellEnd"/>
    </w:p>
    <w:p w14:paraId="6A644A54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ІP – </w:t>
      </w:r>
      <w:proofErr w:type="spellStart"/>
      <w:r w:rsidRPr="008932B0">
        <w:rPr>
          <w:color w:val="151515"/>
          <w:sz w:val="28"/>
          <w:szCs w:val="28"/>
        </w:rPr>
        <w:t>желіаралық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хаттама</w:t>
      </w:r>
      <w:proofErr w:type="spellEnd"/>
    </w:p>
    <w:p w14:paraId="24846C6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ТОБЖ – </w:t>
      </w:r>
      <w:proofErr w:type="spellStart"/>
      <w:r w:rsidRPr="008932B0">
        <w:rPr>
          <w:color w:val="151515"/>
          <w:sz w:val="28"/>
          <w:szCs w:val="28"/>
        </w:rPr>
        <w:t>талшықты-оптикалық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байланыс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желісі</w:t>
      </w:r>
      <w:proofErr w:type="spellEnd"/>
    </w:p>
    <w:p w14:paraId="074091BB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</w:t>
      </w:r>
      <w:proofErr w:type="spellStart"/>
      <w:r w:rsidRPr="008932B0">
        <w:rPr>
          <w:color w:val="151515"/>
          <w:sz w:val="28"/>
          <w:szCs w:val="28"/>
        </w:rPr>
        <w:t>Ескертпе</w:t>
      </w:r>
      <w:proofErr w:type="spellEnd"/>
      <w:r w:rsidRPr="008932B0">
        <w:rPr>
          <w:color w:val="151515"/>
          <w:sz w:val="28"/>
          <w:szCs w:val="28"/>
        </w:rPr>
        <w:t>:</w:t>
      </w:r>
    </w:p>
    <w:p w14:paraId="53235746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 _______________________________</w:t>
      </w:r>
    </w:p>
    <w:p w14:paraId="0DD7F5F2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r w:rsidRPr="008932B0">
        <w:rPr>
          <w:color w:val="151515"/>
          <w:sz w:val="28"/>
          <w:szCs w:val="28"/>
          <w:vertAlign w:val="superscript"/>
        </w:rPr>
        <w:t>і</w:t>
      </w:r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деректерді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тестілік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файлдарды</w:t>
      </w:r>
      <w:proofErr w:type="spellEnd"/>
      <w:r w:rsidRPr="008932B0">
        <w:rPr>
          <w:color w:val="151515"/>
          <w:sz w:val="28"/>
          <w:szCs w:val="28"/>
        </w:rPr>
        <w:t xml:space="preserve">) </w:t>
      </w:r>
      <w:proofErr w:type="spellStart"/>
      <w:r w:rsidRPr="008932B0">
        <w:rPr>
          <w:color w:val="151515"/>
          <w:sz w:val="28"/>
          <w:szCs w:val="28"/>
        </w:rPr>
        <w:t>жүктеудің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сәтсіз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талаптары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санының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белгілі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уақыт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кезеңінде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деректерді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жүктеу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талаптарының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жалпы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санына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пайызбен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көрсетілген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қатынасы</w:t>
      </w:r>
      <w:proofErr w:type="spellEnd"/>
      <w:r w:rsidRPr="008932B0">
        <w:rPr>
          <w:color w:val="151515"/>
          <w:sz w:val="28"/>
          <w:szCs w:val="28"/>
        </w:rPr>
        <w:t>;</w:t>
      </w:r>
    </w:p>
    <w:p w14:paraId="3102EC67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proofErr w:type="spellStart"/>
      <w:r w:rsidRPr="008932B0">
        <w:rPr>
          <w:color w:val="151515"/>
          <w:sz w:val="28"/>
          <w:szCs w:val="28"/>
          <w:vertAlign w:val="superscript"/>
        </w:rPr>
        <w:t>іі</w:t>
      </w:r>
      <w:proofErr w:type="spellEnd"/>
      <w:r w:rsidRPr="008932B0">
        <w:rPr>
          <w:color w:val="151515"/>
          <w:sz w:val="28"/>
          <w:szCs w:val="28"/>
        </w:rPr>
        <w:t xml:space="preserve"> HTTP WEB </w:t>
      </w:r>
      <w:proofErr w:type="spellStart"/>
      <w:r w:rsidRPr="008932B0">
        <w:rPr>
          <w:color w:val="151515"/>
          <w:sz w:val="28"/>
          <w:szCs w:val="28"/>
        </w:rPr>
        <w:t>парақты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жүктеудің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сәтті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талаптары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санының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белгілі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уақыт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кезеңінде</w:t>
      </w:r>
      <w:proofErr w:type="spellEnd"/>
      <w:r w:rsidRPr="008932B0">
        <w:rPr>
          <w:color w:val="151515"/>
          <w:sz w:val="28"/>
          <w:szCs w:val="28"/>
        </w:rPr>
        <w:t xml:space="preserve"> HTTP WEB-</w:t>
      </w:r>
      <w:proofErr w:type="spellStart"/>
      <w:r w:rsidRPr="008932B0">
        <w:rPr>
          <w:color w:val="151515"/>
          <w:sz w:val="28"/>
          <w:szCs w:val="28"/>
        </w:rPr>
        <w:t>парақты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жүктеу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талаптарының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жалпы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санына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пайызбен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көрсетілген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қатынасы</w:t>
      </w:r>
      <w:proofErr w:type="spellEnd"/>
      <w:r w:rsidRPr="008932B0">
        <w:rPr>
          <w:color w:val="151515"/>
          <w:sz w:val="28"/>
          <w:szCs w:val="28"/>
        </w:rPr>
        <w:t>;</w:t>
      </w:r>
    </w:p>
    <w:p w14:paraId="5833FAB1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proofErr w:type="spellStart"/>
      <w:r w:rsidRPr="008932B0">
        <w:rPr>
          <w:color w:val="151515"/>
          <w:sz w:val="28"/>
          <w:szCs w:val="28"/>
          <w:vertAlign w:val="superscript"/>
        </w:rPr>
        <w:t>ііі</w:t>
      </w:r>
      <w:proofErr w:type="spellEnd"/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Өлшеулер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жүргізілетін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орындар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кластары</w:t>
      </w:r>
      <w:proofErr w:type="spellEnd"/>
      <w:r w:rsidRPr="008932B0">
        <w:rPr>
          <w:color w:val="151515"/>
          <w:sz w:val="28"/>
          <w:szCs w:val="28"/>
        </w:rPr>
        <w:t>:</w:t>
      </w:r>
    </w:p>
    <w:p w14:paraId="5D2538E2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lastRenderedPageBreak/>
        <w:t xml:space="preserve">      С1С - </w:t>
      </w:r>
      <w:proofErr w:type="spellStart"/>
      <w:r w:rsidRPr="008932B0">
        <w:rPr>
          <w:color w:val="151515"/>
          <w:sz w:val="28"/>
          <w:szCs w:val="28"/>
        </w:rPr>
        <w:t>Әуежайлар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теміржол</w:t>
      </w:r>
      <w:proofErr w:type="spellEnd"/>
      <w:r w:rsidRPr="008932B0">
        <w:rPr>
          <w:color w:val="151515"/>
          <w:sz w:val="28"/>
          <w:szCs w:val="28"/>
        </w:rPr>
        <w:t>/</w:t>
      </w:r>
      <w:proofErr w:type="spellStart"/>
      <w:r w:rsidRPr="008932B0">
        <w:rPr>
          <w:color w:val="151515"/>
          <w:sz w:val="28"/>
          <w:szCs w:val="28"/>
        </w:rPr>
        <w:t>сапаржай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вокзалдары</w:t>
      </w:r>
      <w:proofErr w:type="spellEnd"/>
      <w:r w:rsidRPr="008932B0">
        <w:rPr>
          <w:color w:val="151515"/>
          <w:sz w:val="28"/>
          <w:szCs w:val="28"/>
        </w:rPr>
        <w:t xml:space="preserve">, бизнес </w:t>
      </w:r>
      <w:proofErr w:type="spellStart"/>
      <w:r w:rsidRPr="008932B0">
        <w:rPr>
          <w:color w:val="151515"/>
          <w:sz w:val="28"/>
          <w:szCs w:val="28"/>
        </w:rPr>
        <w:t>орталықтары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әкімшілік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кешендер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көрмелік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алаңдар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мәдени-бұқаралық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іс-шараларды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өткізу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орындары</w:t>
      </w:r>
      <w:proofErr w:type="spellEnd"/>
    </w:p>
    <w:p w14:paraId="7804151C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Д0 - 1 </w:t>
      </w:r>
      <w:proofErr w:type="spellStart"/>
      <w:r w:rsidRPr="008932B0">
        <w:rPr>
          <w:color w:val="151515"/>
          <w:sz w:val="28"/>
          <w:szCs w:val="28"/>
        </w:rPr>
        <w:t>миллионнан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астам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халқы</w:t>
      </w:r>
      <w:proofErr w:type="spellEnd"/>
      <w:r w:rsidRPr="008932B0">
        <w:rPr>
          <w:color w:val="151515"/>
          <w:sz w:val="28"/>
          <w:szCs w:val="28"/>
        </w:rPr>
        <w:t xml:space="preserve"> бар </w:t>
      </w:r>
      <w:proofErr w:type="spellStart"/>
      <w:r w:rsidRPr="008932B0">
        <w:rPr>
          <w:color w:val="151515"/>
          <w:sz w:val="28"/>
          <w:szCs w:val="28"/>
        </w:rPr>
        <w:t>қалалар</w:t>
      </w:r>
      <w:proofErr w:type="spellEnd"/>
    </w:p>
    <w:p w14:paraId="4FAAB94C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Д1 - </w:t>
      </w:r>
      <w:proofErr w:type="spellStart"/>
      <w:r w:rsidRPr="008932B0">
        <w:rPr>
          <w:color w:val="151515"/>
          <w:sz w:val="28"/>
          <w:szCs w:val="28"/>
        </w:rPr>
        <w:t>Республикалық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маңызы</w:t>
      </w:r>
      <w:proofErr w:type="spellEnd"/>
      <w:r w:rsidRPr="008932B0">
        <w:rPr>
          <w:color w:val="151515"/>
          <w:sz w:val="28"/>
          <w:szCs w:val="28"/>
        </w:rPr>
        <w:t xml:space="preserve"> бар және (</w:t>
      </w:r>
      <w:proofErr w:type="spellStart"/>
      <w:r w:rsidRPr="008932B0">
        <w:rPr>
          <w:color w:val="151515"/>
          <w:sz w:val="28"/>
          <w:szCs w:val="28"/>
        </w:rPr>
        <w:t>немесе</w:t>
      </w:r>
      <w:proofErr w:type="spellEnd"/>
      <w:r w:rsidRPr="008932B0">
        <w:rPr>
          <w:color w:val="151515"/>
          <w:sz w:val="28"/>
          <w:szCs w:val="28"/>
        </w:rPr>
        <w:t xml:space="preserve">) </w:t>
      </w:r>
      <w:proofErr w:type="spellStart"/>
      <w:r w:rsidRPr="008932B0">
        <w:rPr>
          <w:color w:val="151515"/>
          <w:sz w:val="28"/>
          <w:szCs w:val="28"/>
        </w:rPr>
        <w:t>халқы</w:t>
      </w:r>
      <w:proofErr w:type="spellEnd"/>
      <w:r w:rsidRPr="008932B0">
        <w:rPr>
          <w:color w:val="151515"/>
          <w:sz w:val="28"/>
          <w:szCs w:val="28"/>
        </w:rPr>
        <w:t xml:space="preserve"> 300 </w:t>
      </w:r>
      <w:proofErr w:type="spellStart"/>
      <w:r w:rsidRPr="008932B0">
        <w:rPr>
          <w:color w:val="151515"/>
          <w:sz w:val="28"/>
          <w:szCs w:val="28"/>
        </w:rPr>
        <w:t>мың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адамнан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асатын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қалалар</w:t>
      </w:r>
      <w:proofErr w:type="spellEnd"/>
    </w:p>
    <w:p w14:paraId="639388A0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Д2 - </w:t>
      </w:r>
      <w:proofErr w:type="spellStart"/>
      <w:r w:rsidRPr="008932B0">
        <w:rPr>
          <w:color w:val="151515"/>
          <w:sz w:val="28"/>
          <w:szCs w:val="28"/>
        </w:rPr>
        <w:t>Қалалық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жер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халқы</w:t>
      </w:r>
      <w:proofErr w:type="spellEnd"/>
      <w:r w:rsidRPr="008932B0">
        <w:rPr>
          <w:color w:val="151515"/>
          <w:sz w:val="28"/>
          <w:szCs w:val="28"/>
        </w:rPr>
        <w:t xml:space="preserve"> 50000-нан 300000 </w:t>
      </w:r>
      <w:proofErr w:type="spellStart"/>
      <w:r w:rsidRPr="008932B0">
        <w:rPr>
          <w:color w:val="151515"/>
          <w:sz w:val="28"/>
          <w:szCs w:val="28"/>
        </w:rPr>
        <w:t>адамға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дейін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болатын</w:t>
      </w:r>
      <w:proofErr w:type="spellEnd"/>
      <w:r w:rsidRPr="008932B0">
        <w:rPr>
          <w:color w:val="151515"/>
          <w:sz w:val="28"/>
          <w:szCs w:val="28"/>
        </w:rPr>
        <w:t xml:space="preserve"> орта және </w:t>
      </w:r>
      <w:proofErr w:type="spellStart"/>
      <w:r w:rsidRPr="008932B0">
        <w:rPr>
          <w:color w:val="151515"/>
          <w:sz w:val="28"/>
          <w:szCs w:val="28"/>
        </w:rPr>
        <w:t>үлкен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қалалар</w:t>
      </w:r>
      <w:proofErr w:type="spellEnd"/>
      <w:r w:rsidRPr="008932B0">
        <w:rPr>
          <w:color w:val="151515"/>
          <w:sz w:val="28"/>
          <w:szCs w:val="28"/>
        </w:rPr>
        <w:t>)</w:t>
      </w:r>
    </w:p>
    <w:p w14:paraId="2DED512C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Д3 - 50000 </w:t>
      </w:r>
      <w:proofErr w:type="spellStart"/>
      <w:r w:rsidRPr="008932B0">
        <w:rPr>
          <w:color w:val="151515"/>
          <w:sz w:val="28"/>
          <w:szCs w:val="28"/>
        </w:rPr>
        <w:t>адамға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дейінгі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халқы</w:t>
      </w:r>
      <w:proofErr w:type="spellEnd"/>
      <w:r w:rsidRPr="008932B0">
        <w:rPr>
          <w:color w:val="151515"/>
          <w:sz w:val="28"/>
          <w:szCs w:val="28"/>
        </w:rPr>
        <w:t xml:space="preserve"> бар </w:t>
      </w:r>
      <w:proofErr w:type="spellStart"/>
      <w:r w:rsidRPr="008932B0">
        <w:rPr>
          <w:color w:val="151515"/>
          <w:sz w:val="28"/>
          <w:szCs w:val="28"/>
        </w:rPr>
        <w:t>ауылдық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жерлер</w:t>
      </w:r>
      <w:proofErr w:type="spellEnd"/>
      <w:r w:rsidRPr="008932B0">
        <w:rPr>
          <w:color w:val="151515"/>
          <w:sz w:val="28"/>
          <w:szCs w:val="28"/>
        </w:rPr>
        <w:t xml:space="preserve"> және </w:t>
      </w:r>
      <w:proofErr w:type="spellStart"/>
      <w:r w:rsidRPr="008932B0">
        <w:rPr>
          <w:color w:val="151515"/>
          <w:sz w:val="28"/>
          <w:szCs w:val="28"/>
        </w:rPr>
        <w:t>шағын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қалалар</w:t>
      </w:r>
      <w:proofErr w:type="spellEnd"/>
    </w:p>
    <w:p w14:paraId="044FBFC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О1С - </w:t>
      </w:r>
      <w:proofErr w:type="spellStart"/>
      <w:r w:rsidRPr="008932B0">
        <w:rPr>
          <w:color w:val="151515"/>
          <w:sz w:val="28"/>
          <w:szCs w:val="28"/>
        </w:rPr>
        <w:t>Келіп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түскен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өтініштер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негізіндегі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өлшемдер</w:t>
      </w:r>
      <w:proofErr w:type="spellEnd"/>
    </w:p>
    <w:p w14:paraId="027E0BD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proofErr w:type="spellStart"/>
      <w:r w:rsidRPr="008932B0">
        <w:rPr>
          <w:color w:val="151515"/>
          <w:sz w:val="28"/>
          <w:szCs w:val="28"/>
          <w:vertAlign w:val="superscript"/>
        </w:rPr>
        <w:t>іv</w:t>
      </w:r>
      <w:proofErr w:type="spellEnd"/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құрылыстардың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тығыздығына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байланысты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елді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мекендердің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типтері</w:t>
      </w:r>
      <w:proofErr w:type="spellEnd"/>
      <w:r w:rsidRPr="008932B0">
        <w:rPr>
          <w:color w:val="151515"/>
          <w:sz w:val="28"/>
          <w:szCs w:val="28"/>
        </w:rPr>
        <w:t>:</w:t>
      </w:r>
    </w:p>
    <w:p w14:paraId="389A08C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1 - </w:t>
      </w:r>
      <w:proofErr w:type="spellStart"/>
      <w:r w:rsidRPr="008932B0">
        <w:rPr>
          <w:color w:val="151515"/>
          <w:sz w:val="28"/>
          <w:szCs w:val="28"/>
        </w:rPr>
        <w:t>құрылыс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тығыздығы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жоғары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қала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үй-жайлардың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сыртынан</w:t>
      </w:r>
      <w:proofErr w:type="spellEnd"/>
      <w:r w:rsidRPr="008932B0">
        <w:rPr>
          <w:color w:val="151515"/>
          <w:sz w:val="28"/>
          <w:szCs w:val="28"/>
        </w:rPr>
        <w:t>);</w:t>
      </w:r>
    </w:p>
    <w:p w14:paraId="0850B9C8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2 - </w:t>
      </w:r>
      <w:proofErr w:type="spellStart"/>
      <w:r w:rsidRPr="008932B0">
        <w:rPr>
          <w:color w:val="151515"/>
          <w:sz w:val="28"/>
          <w:szCs w:val="28"/>
        </w:rPr>
        <w:t>құрылыс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тығыздығы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төмен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қала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шеттегі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аймақтар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үй-жайлардың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сыртынан</w:t>
      </w:r>
      <w:proofErr w:type="spellEnd"/>
      <w:r w:rsidRPr="008932B0">
        <w:rPr>
          <w:color w:val="151515"/>
          <w:sz w:val="28"/>
          <w:szCs w:val="28"/>
        </w:rPr>
        <w:t>);</w:t>
      </w:r>
    </w:p>
    <w:p w14:paraId="1BF3EA33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3 - </w:t>
      </w:r>
      <w:proofErr w:type="spellStart"/>
      <w:r w:rsidRPr="008932B0">
        <w:rPr>
          <w:color w:val="151515"/>
          <w:sz w:val="28"/>
          <w:szCs w:val="28"/>
        </w:rPr>
        <w:t>ауылдық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жер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лицензиялық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міндеттемелерге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сәйкес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желімен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қамтылған</w:t>
      </w:r>
      <w:proofErr w:type="spellEnd"/>
      <w:r w:rsidRPr="008932B0">
        <w:rPr>
          <w:color w:val="151515"/>
          <w:sz w:val="28"/>
          <w:szCs w:val="28"/>
        </w:rPr>
        <w:t xml:space="preserve">, </w:t>
      </w:r>
      <w:proofErr w:type="spellStart"/>
      <w:r w:rsidRPr="008932B0">
        <w:rPr>
          <w:color w:val="151515"/>
          <w:sz w:val="28"/>
          <w:szCs w:val="28"/>
        </w:rPr>
        <w:t>үй-жайлардың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сыртынан</w:t>
      </w:r>
      <w:proofErr w:type="spellEnd"/>
      <w:r w:rsidRPr="008932B0">
        <w:rPr>
          <w:color w:val="151515"/>
          <w:sz w:val="28"/>
          <w:szCs w:val="28"/>
        </w:rPr>
        <w:t>);</w:t>
      </w:r>
    </w:p>
    <w:p w14:paraId="776C775F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 xml:space="preserve">      4 - автомобиль </w:t>
      </w:r>
      <w:proofErr w:type="spellStart"/>
      <w:r w:rsidRPr="008932B0">
        <w:rPr>
          <w:color w:val="151515"/>
          <w:sz w:val="28"/>
          <w:szCs w:val="28"/>
        </w:rPr>
        <w:t>жолдары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лицензиялық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міндеттемелерге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сәйкес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желімен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қамтылған</w:t>
      </w:r>
      <w:proofErr w:type="spellEnd"/>
      <w:r w:rsidRPr="008932B0">
        <w:rPr>
          <w:color w:val="151515"/>
          <w:sz w:val="28"/>
          <w:szCs w:val="28"/>
        </w:rPr>
        <w:t>)</w:t>
      </w:r>
    </w:p>
    <w:p w14:paraId="172C7758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r w:rsidRPr="008932B0">
        <w:rPr>
          <w:color w:val="151515"/>
          <w:sz w:val="28"/>
          <w:szCs w:val="28"/>
          <w:vertAlign w:val="superscript"/>
        </w:rPr>
        <w:t>v</w:t>
      </w:r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әртүрлі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елді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мекендер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типтерінде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желінің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қолжетімділігі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қамтамасыз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етілетін</w:t>
      </w:r>
      <w:proofErr w:type="spellEnd"/>
      <w:r w:rsidRPr="008932B0">
        <w:rPr>
          <w:color w:val="151515"/>
          <w:sz w:val="28"/>
          <w:szCs w:val="28"/>
        </w:rPr>
        <w:t xml:space="preserve"> бос </w:t>
      </w:r>
      <w:proofErr w:type="spellStart"/>
      <w:r w:rsidRPr="008932B0">
        <w:rPr>
          <w:color w:val="151515"/>
          <w:sz w:val="28"/>
          <w:szCs w:val="28"/>
        </w:rPr>
        <w:t>кеңістіктің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қабылдау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нүктелеріндегі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сигналдың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төменгі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деңгейі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сигналдың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таралуы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кезінде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өшуімен</w:t>
      </w:r>
      <w:proofErr w:type="spellEnd"/>
      <w:r w:rsidRPr="008932B0">
        <w:rPr>
          <w:color w:val="151515"/>
          <w:sz w:val="28"/>
          <w:szCs w:val="28"/>
        </w:rPr>
        <w:t xml:space="preserve"> (</w:t>
      </w:r>
      <w:proofErr w:type="spellStart"/>
      <w:r w:rsidRPr="008932B0">
        <w:rPr>
          <w:color w:val="151515"/>
          <w:sz w:val="28"/>
          <w:szCs w:val="28"/>
        </w:rPr>
        <w:t>бөгеуілдерді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ескере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отырып</w:t>
      </w:r>
      <w:proofErr w:type="spellEnd"/>
      <w:r w:rsidRPr="008932B0">
        <w:rPr>
          <w:color w:val="151515"/>
          <w:sz w:val="28"/>
          <w:szCs w:val="28"/>
        </w:rPr>
        <w:t xml:space="preserve">) </w:t>
      </w:r>
      <w:proofErr w:type="spellStart"/>
      <w:r w:rsidRPr="008932B0">
        <w:rPr>
          <w:color w:val="151515"/>
          <w:sz w:val="28"/>
          <w:szCs w:val="28"/>
        </w:rPr>
        <w:t>айқындайды</w:t>
      </w:r>
      <w:proofErr w:type="spellEnd"/>
      <w:r w:rsidRPr="008932B0">
        <w:rPr>
          <w:color w:val="151515"/>
          <w:sz w:val="28"/>
          <w:szCs w:val="28"/>
        </w:rPr>
        <w:t>;</w:t>
      </w:r>
    </w:p>
    <w:p w14:paraId="1FEB19F3" w14:textId="77777777" w:rsidR="004206B3" w:rsidRPr="008932B0" w:rsidRDefault="004206B3" w:rsidP="004206B3">
      <w:pPr>
        <w:pStyle w:val="a4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8932B0">
        <w:rPr>
          <w:color w:val="151515"/>
          <w:sz w:val="28"/>
          <w:szCs w:val="28"/>
        </w:rPr>
        <w:t>      </w:t>
      </w:r>
      <w:proofErr w:type="spellStart"/>
      <w:r w:rsidRPr="008932B0">
        <w:rPr>
          <w:color w:val="151515"/>
          <w:sz w:val="28"/>
          <w:szCs w:val="28"/>
          <w:vertAlign w:val="superscript"/>
        </w:rPr>
        <w:t>vі</w:t>
      </w:r>
      <w:proofErr w:type="spellEnd"/>
      <w:r w:rsidRPr="008932B0">
        <w:rPr>
          <w:color w:val="151515"/>
          <w:sz w:val="28"/>
          <w:szCs w:val="28"/>
        </w:rPr>
        <w:t> </w:t>
      </w:r>
      <w:proofErr w:type="spellStart"/>
      <w:r w:rsidRPr="008932B0">
        <w:rPr>
          <w:color w:val="151515"/>
          <w:sz w:val="28"/>
          <w:szCs w:val="28"/>
        </w:rPr>
        <w:t>бастапқы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мәндердің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жол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берілетін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пайызы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көрсетілген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технологиялардың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желісімен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қамтылған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учаскелерде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алынған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мәндердің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жалпы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санынан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бастапқы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мәннен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төмен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мәндердің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үлесі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ретінде</w:t>
      </w:r>
      <w:proofErr w:type="spellEnd"/>
      <w:r w:rsidRPr="008932B0">
        <w:rPr>
          <w:color w:val="151515"/>
          <w:sz w:val="28"/>
          <w:szCs w:val="28"/>
        </w:rPr>
        <w:t xml:space="preserve"> </w:t>
      </w:r>
      <w:proofErr w:type="spellStart"/>
      <w:r w:rsidRPr="008932B0">
        <w:rPr>
          <w:color w:val="151515"/>
          <w:sz w:val="28"/>
          <w:szCs w:val="28"/>
        </w:rPr>
        <w:t>есептеледі</w:t>
      </w:r>
      <w:proofErr w:type="spellEnd"/>
      <w:r w:rsidRPr="008932B0">
        <w:rPr>
          <w:color w:val="151515"/>
          <w:sz w:val="28"/>
          <w:szCs w:val="28"/>
        </w:rPr>
        <w:t>.</w:t>
      </w:r>
    </w:p>
    <w:p w14:paraId="194F54D9" w14:textId="77777777" w:rsidR="004206B3" w:rsidRPr="008932B0" w:rsidRDefault="004206B3" w:rsidP="004206B3">
      <w:pPr>
        <w:rPr>
          <w:rFonts w:ascii="Times New Roman" w:hAnsi="Times New Roman" w:cs="Times New Roman"/>
          <w:sz w:val="28"/>
          <w:szCs w:val="28"/>
        </w:rPr>
      </w:pPr>
    </w:p>
    <w:p w14:paraId="0063547D" w14:textId="77777777" w:rsidR="00AC707A" w:rsidRPr="008932B0" w:rsidRDefault="00AC707A">
      <w:pPr>
        <w:rPr>
          <w:rFonts w:ascii="Times New Roman" w:hAnsi="Times New Roman" w:cs="Times New Roman"/>
          <w:sz w:val="28"/>
          <w:szCs w:val="28"/>
        </w:rPr>
      </w:pPr>
    </w:p>
    <w:sectPr w:rsidR="00AC707A" w:rsidRPr="00893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7A"/>
    <w:rsid w:val="004206B3"/>
    <w:rsid w:val="008932B0"/>
    <w:rsid w:val="00AC707A"/>
    <w:rsid w:val="00E2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F917"/>
  <w15:chartTrackingRefBased/>
  <w15:docId w15:val="{6238F853-AE1B-43EB-B492-98052BBD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06B3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6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206B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KZ"/>
    </w:rPr>
  </w:style>
  <w:style w:type="character" w:styleId="a3">
    <w:name w:val="Hyperlink"/>
    <w:basedOn w:val="a0"/>
    <w:uiPriority w:val="99"/>
    <w:semiHidden/>
    <w:unhideWhenUsed/>
    <w:rsid w:val="004206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20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note">
    <w:name w:val="note"/>
    <w:basedOn w:val="a"/>
    <w:uiPriority w:val="99"/>
    <w:semiHidden/>
    <w:rsid w:val="00420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kz/kaz/docs/V2100022242" TargetMode="External"/><Relationship Id="rId5" Type="http://schemas.openxmlformats.org/officeDocument/2006/relationships/hyperlink" Target="https://www.gov.kz/kaz/docs/V1700016064" TargetMode="External"/><Relationship Id="rId4" Type="http://schemas.openxmlformats.org/officeDocument/2006/relationships/hyperlink" Target="https://www.gov.kz/kaz/docs/Z040000567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Байбурин</dc:creator>
  <cp:keywords/>
  <dc:description/>
  <cp:lastModifiedBy>Рустам Байбурин</cp:lastModifiedBy>
  <cp:revision>4</cp:revision>
  <dcterms:created xsi:type="dcterms:W3CDTF">2022-01-18T05:42:00Z</dcterms:created>
  <dcterms:modified xsi:type="dcterms:W3CDTF">2022-01-18T05:49:00Z</dcterms:modified>
</cp:coreProperties>
</file>